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0257" w:rsidRDefault="00E91264" w:rsidP="00670257">
      <w:pPr>
        <w:widowControl/>
        <w:shd w:val="clear" w:color="auto" w:fill="FFFFFF"/>
        <w:spacing w:before="76" w:after="76" w:line="432" w:lineRule="auto"/>
        <w:jc w:val="center"/>
        <w:rPr>
          <w:rFonts w:ascii="黑体" w:eastAsia="黑体" w:hAnsi="黑体" w:cs="黑体"/>
          <w:bCs/>
          <w:kern w:val="0"/>
          <w:sz w:val="32"/>
          <w:szCs w:val="32"/>
          <w:shd w:val="clear" w:color="auto" w:fill="FFFFFF"/>
        </w:rPr>
      </w:pPr>
      <w:r>
        <w:rPr>
          <w:rFonts w:ascii="黑体" w:eastAsia="黑体" w:hAnsi="黑体" w:cs="黑体" w:hint="eastAsia"/>
          <w:bCs/>
          <w:kern w:val="0"/>
          <w:sz w:val="32"/>
          <w:szCs w:val="32"/>
          <w:shd w:val="clear" w:color="auto" w:fill="FFFFFF"/>
        </w:rPr>
        <w:t>西曲矿科技推广应用成果</w:t>
      </w:r>
    </w:p>
    <w:p w:rsidR="00670257" w:rsidRPr="00CC1C13" w:rsidRDefault="00670257" w:rsidP="00670257">
      <w:pPr>
        <w:widowControl/>
        <w:shd w:val="clear" w:color="auto" w:fill="FFFFFF"/>
        <w:spacing w:before="76" w:after="76" w:line="432" w:lineRule="auto"/>
        <w:jc w:val="left"/>
        <w:rPr>
          <w:rFonts w:ascii="宋体" w:hAnsi="宋体" w:cs="宋体"/>
          <w:b/>
          <w:kern w:val="0"/>
          <w:sz w:val="24"/>
          <w:shd w:val="clear" w:color="auto" w:fill="FFFFFF"/>
        </w:rPr>
      </w:pPr>
      <w:r w:rsidRPr="00CC1C13">
        <w:rPr>
          <w:rFonts w:ascii="黑体" w:eastAsia="黑体" w:hAnsi="黑体" w:cs="黑体" w:hint="eastAsia"/>
          <w:bCs/>
          <w:kern w:val="0"/>
          <w:sz w:val="24"/>
          <w:shd w:val="clear" w:color="auto" w:fill="FFFFFF"/>
        </w:rPr>
        <w:t>一、基本情况</w:t>
      </w:r>
    </w:p>
    <w:tbl>
      <w:tblPr>
        <w:tblW w:w="8831" w:type="dxa"/>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74"/>
        <w:gridCol w:w="1854"/>
        <w:gridCol w:w="474"/>
        <w:gridCol w:w="1920"/>
        <w:gridCol w:w="25"/>
        <w:gridCol w:w="2484"/>
      </w:tblGrid>
      <w:tr w:rsidR="00670257" w:rsidTr="001767C8">
        <w:trPr>
          <w:trHeight w:val="605"/>
        </w:trPr>
        <w:tc>
          <w:tcPr>
            <w:tcW w:w="2074" w:type="dxa"/>
            <w:vAlign w:val="center"/>
          </w:tcPr>
          <w:p w:rsidR="00670257" w:rsidRPr="000B7390" w:rsidRDefault="00670257" w:rsidP="0019278E">
            <w:pPr>
              <w:jc w:val="center"/>
              <w:rPr>
                <w:rFonts w:ascii="宋体" w:hAnsi="宋体" w:cs="宋体"/>
                <w:bCs/>
                <w:sz w:val="24"/>
              </w:rPr>
            </w:pPr>
            <w:r>
              <w:rPr>
                <w:rFonts w:ascii="宋体" w:hAnsi="宋体" w:cs="宋体" w:hint="eastAsia"/>
                <w:bCs/>
                <w:sz w:val="24"/>
              </w:rPr>
              <w:t>技术名称</w:t>
            </w:r>
          </w:p>
        </w:tc>
        <w:tc>
          <w:tcPr>
            <w:tcW w:w="6757" w:type="dxa"/>
            <w:gridSpan w:val="5"/>
            <w:vAlign w:val="center"/>
          </w:tcPr>
          <w:p w:rsidR="00670257" w:rsidRPr="000B7390" w:rsidRDefault="00115A65" w:rsidP="0019278E">
            <w:pPr>
              <w:jc w:val="center"/>
              <w:rPr>
                <w:rFonts w:ascii="宋体" w:hAnsi="宋体" w:cs="宋体"/>
                <w:sz w:val="24"/>
              </w:rPr>
            </w:pPr>
            <w:r w:rsidRPr="00115A65">
              <w:rPr>
                <w:rFonts w:ascii="宋体" w:hAnsi="宋体" w:cs="宋体" w:hint="eastAsia"/>
                <w:sz w:val="24"/>
              </w:rPr>
              <w:t>中深孔爆破技术在西曲矿14308回采工作面的应用</w:t>
            </w:r>
          </w:p>
        </w:tc>
      </w:tr>
      <w:tr w:rsidR="00115A65" w:rsidTr="001767C8">
        <w:trPr>
          <w:trHeight w:val="711"/>
        </w:trPr>
        <w:tc>
          <w:tcPr>
            <w:tcW w:w="2074" w:type="dxa"/>
            <w:vAlign w:val="center"/>
          </w:tcPr>
          <w:p w:rsidR="00115A65" w:rsidRPr="000B7390" w:rsidRDefault="00115A65" w:rsidP="0019278E">
            <w:pPr>
              <w:jc w:val="center"/>
              <w:rPr>
                <w:rFonts w:ascii="宋体" w:hAnsi="宋体" w:cs="宋体"/>
                <w:bCs/>
                <w:sz w:val="24"/>
              </w:rPr>
            </w:pPr>
            <w:r>
              <w:rPr>
                <w:rFonts w:ascii="宋体" w:hAnsi="宋体" w:cs="宋体" w:hint="eastAsia"/>
                <w:bCs/>
                <w:sz w:val="24"/>
              </w:rPr>
              <w:t>研发单位</w:t>
            </w:r>
          </w:p>
        </w:tc>
        <w:tc>
          <w:tcPr>
            <w:tcW w:w="2328" w:type="dxa"/>
            <w:gridSpan w:val="2"/>
            <w:vAlign w:val="center"/>
          </w:tcPr>
          <w:p w:rsidR="00115A65" w:rsidRPr="00A21839" w:rsidRDefault="00115A65" w:rsidP="006304BC">
            <w:pPr>
              <w:pStyle w:val="10"/>
              <w:ind w:firstLine="560"/>
              <w:rPr>
                <w:rFonts w:asciiTheme="minorEastAsia" w:eastAsiaTheme="minorEastAsia" w:hAnsiTheme="minorEastAsia" w:cs="宋体"/>
                <w:sz w:val="24"/>
              </w:rPr>
            </w:pPr>
            <w:r w:rsidRPr="00A21839">
              <w:rPr>
                <w:rFonts w:asciiTheme="minorEastAsia" w:eastAsiaTheme="minorEastAsia" w:hAnsiTheme="minorEastAsia" w:cs="宋体" w:hint="eastAsia"/>
                <w:sz w:val="24"/>
              </w:rPr>
              <w:t>西曲矿</w:t>
            </w:r>
          </w:p>
        </w:tc>
        <w:tc>
          <w:tcPr>
            <w:tcW w:w="1920" w:type="dxa"/>
            <w:vAlign w:val="center"/>
          </w:tcPr>
          <w:p w:rsidR="00115A65" w:rsidRPr="00A21839" w:rsidRDefault="00115A65" w:rsidP="006304BC">
            <w:pPr>
              <w:jc w:val="center"/>
              <w:rPr>
                <w:rFonts w:asciiTheme="minorEastAsia" w:eastAsiaTheme="minorEastAsia" w:hAnsiTheme="minorEastAsia" w:cs="宋体"/>
                <w:bCs/>
                <w:sz w:val="24"/>
              </w:rPr>
            </w:pPr>
            <w:r w:rsidRPr="00A21839">
              <w:rPr>
                <w:rFonts w:asciiTheme="minorEastAsia" w:eastAsiaTheme="minorEastAsia" w:hAnsiTheme="minorEastAsia" w:cs="宋体" w:hint="eastAsia"/>
                <w:bCs/>
                <w:sz w:val="24"/>
              </w:rPr>
              <w:t>所属领域</w:t>
            </w:r>
          </w:p>
        </w:tc>
        <w:tc>
          <w:tcPr>
            <w:tcW w:w="2509" w:type="dxa"/>
            <w:gridSpan w:val="2"/>
            <w:vAlign w:val="center"/>
          </w:tcPr>
          <w:p w:rsidR="00115A65" w:rsidRPr="00A21839" w:rsidRDefault="00115A65" w:rsidP="006304BC">
            <w:pPr>
              <w:jc w:val="center"/>
              <w:rPr>
                <w:rFonts w:asciiTheme="minorEastAsia" w:eastAsiaTheme="minorEastAsia" w:hAnsiTheme="minorEastAsia" w:cs="宋体"/>
                <w:bCs/>
                <w:sz w:val="24"/>
              </w:rPr>
            </w:pPr>
            <w:r w:rsidRPr="00A21839">
              <w:rPr>
                <w:rFonts w:asciiTheme="minorEastAsia" w:eastAsiaTheme="minorEastAsia" w:hAnsiTheme="minorEastAsia" w:cs="宋体" w:hint="eastAsia"/>
                <w:sz w:val="24"/>
              </w:rPr>
              <w:t>煤矿生产</w:t>
            </w:r>
          </w:p>
        </w:tc>
      </w:tr>
      <w:tr w:rsidR="00115A65" w:rsidTr="001767C8">
        <w:trPr>
          <w:trHeight w:val="624"/>
        </w:trPr>
        <w:tc>
          <w:tcPr>
            <w:tcW w:w="2074" w:type="dxa"/>
            <w:vAlign w:val="center"/>
          </w:tcPr>
          <w:p w:rsidR="00115A65" w:rsidRPr="000B7390" w:rsidRDefault="00115A65" w:rsidP="0019278E">
            <w:pPr>
              <w:jc w:val="center"/>
              <w:rPr>
                <w:rFonts w:ascii="宋体" w:hAnsi="宋体" w:cs="宋体"/>
                <w:bCs/>
                <w:sz w:val="24"/>
              </w:rPr>
            </w:pPr>
            <w:r>
              <w:rPr>
                <w:rFonts w:ascii="宋体" w:hAnsi="宋体" w:cs="宋体" w:hint="eastAsia"/>
                <w:bCs/>
                <w:sz w:val="24"/>
              </w:rPr>
              <w:t>类别</w:t>
            </w:r>
          </w:p>
        </w:tc>
        <w:tc>
          <w:tcPr>
            <w:tcW w:w="6757" w:type="dxa"/>
            <w:gridSpan w:val="5"/>
            <w:vAlign w:val="center"/>
          </w:tcPr>
          <w:p w:rsidR="00115A65" w:rsidRPr="00A21839" w:rsidRDefault="00115A65" w:rsidP="006304BC">
            <w:pPr>
              <w:pStyle w:val="a5"/>
              <w:numPr>
                <w:ilvl w:val="0"/>
                <w:numId w:val="3"/>
              </w:numPr>
              <w:ind w:firstLineChars="0"/>
              <w:rPr>
                <w:rFonts w:asciiTheme="minorEastAsia" w:eastAsiaTheme="minorEastAsia" w:hAnsiTheme="minorEastAsia" w:cs="宋体"/>
                <w:bCs/>
                <w:sz w:val="24"/>
              </w:rPr>
            </w:pPr>
            <w:r w:rsidRPr="00A21839">
              <w:rPr>
                <w:rFonts w:asciiTheme="minorEastAsia" w:eastAsiaTheme="minorEastAsia" w:hAnsiTheme="minorEastAsia" w:cs="宋体" w:hint="eastAsia"/>
                <w:bCs/>
                <w:sz w:val="24"/>
              </w:rPr>
              <w:t xml:space="preserve">新技术 </w:t>
            </w:r>
            <w:r w:rsidRPr="00A21839">
              <w:rPr>
                <w:rFonts w:asciiTheme="minorEastAsia" w:eastAsiaTheme="minorEastAsia" w:hAnsiTheme="minorEastAsia" w:cs="宋体" w:hint="eastAsia"/>
                <w:bCs/>
                <w:sz w:val="24"/>
              </w:rPr>
              <w:sym w:font="Wingdings" w:char="F06F"/>
            </w:r>
            <w:r w:rsidRPr="00A21839">
              <w:rPr>
                <w:rFonts w:asciiTheme="minorEastAsia" w:eastAsiaTheme="minorEastAsia" w:hAnsiTheme="minorEastAsia" w:cs="宋体" w:hint="eastAsia"/>
                <w:bCs/>
                <w:sz w:val="24"/>
              </w:rPr>
              <w:t>新产品</w:t>
            </w:r>
            <w:r w:rsidRPr="00A21839">
              <w:rPr>
                <w:rFonts w:asciiTheme="minorEastAsia" w:eastAsiaTheme="minorEastAsia" w:hAnsiTheme="minorEastAsia" w:cs="宋体" w:hint="eastAsia"/>
                <w:bCs/>
                <w:sz w:val="24"/>
              </w:rPr>
              <w:sym w:font="Wingdings" w:char="F06F"/>
            </w:r>
            <w:r w:rsidRPr="00A21839">
              <w:rPr>
                <w:rFonts w:asciiTheme="minorEastAsia" w:eastAsiaTheme="minorEastAsia" w:hAnsiTheme="minorEastAsia" w:cs="宋体" w:hint="eastAsia"/>
                <w:bCs/>
                <w:sz w:val="24"/>
              </w:rPr>
              <w:t>新材料</w:t>
            </w:r>
            <w:r w:rsidRPr="00A21839">
              <w:rPr>
                <w:rFonts w:asciiTheme="minorEastAsia" w:eastAsiaTheme="minorEastAsia" w:hAnsiTheme="minorEastAsia" w:cs="宋体" w:hint="eastAsia"/>
                <w:bCs/>
                <w:sz w:val="24"/>
              </w:rPr>
              <w:sym w:font="Wingdings" w:char="F06F"/>
            </w:r>
            <w:r w:rsidRPr="00A21839">
              <w:rPr>
                <w:rFonts w:asciiTheme="minorEastAsia" w:eastAsiaTheme="minorEastAsia" w:hAnsiTheme="minorEastAsia" w:cs="宋体" w:hint="eastAsia"/>
                <w:bCs/>
                <w:sz w:val="24"/>
              </w:rPr>
              <w:t>新工艺</w:t>
            </w:r>
          </w:p>
        </w:tc>
      </w:tr>
      <w:tr w:rsidR="00115A65" w:rsidTr="001767C8">
        <w:trPr>
          <w:trHeight w:val="667"/>
        </w:trPr>
        <w:tc>
          <w:tcPr>
            <w:tcW w:w="2074" w:type="dxa"/>
            <w:vAlign w:val="center"/>
          </w:tcPr>
          <w:p w:rsidR="00115A65" w:rsidRPr="000B7390" w:rsidRDefault="00115A65" w:rsidP="0019278E">
            <w:pPr>
              <w:jc w:val="center"/>
              <w:rPr>
                <w:rFonts w:ascii="宋体" w:hAnsi="宋体" w:cs="宋体"/>
                <w:bCs/>
                <w:sz w:val="24"/>
              </w:rPr>
            </w:pPr>
            <w:r>
              <w:rPr>
                <w:rFonts w:ascii="宋体" w:hAnsi="宋体" w:cs="宋体" w:hint="eastAsia"/>
                <w:bCs/>
                <w:sz w:val="24"/>
              </w:rPr>
              <w:t>联系人</w:t>
            </w:r>
          </w:p>
        </w:tc>
        <w:tc>
          <w:tcPr>
            <w:tcW w:w="1854" w:type="dxa"/>
            <w:vAlign w:val="center"/>
          </w:tcPr>
          <w:p w:rsidR="00115A65" w:rsidRPr="00A21839" w:rsidRDefault="00115A65" w:rsidP="006304BC">
            <w:pPr>
              <w:jc w:val="center"/>
              <w:rPr>
                <w:rFonts w:asciiTheme="minorEastAsia" w:eastAsiaTheme="minorEastAsia" w:hAnsiTheme="minorEastAsia" w:cs="宋体"/>
                <w:bCs/>
                <w:sz w:val="24"/>
              </w:rPr>
            </w:pPr>
            <w:r w:rsidRPr="00A21839">
              <w:rPr>
                <w:rFonts w:asciiTheme="minorEastAsia" w:eastAsiaTheme="minorEastAsia" w:hAnsiTheme="minorEastAsia" w:cs="宋体" w:hint="eastAsia"/>
                <w:bCs/>
                <w:sz w:val="24"/>
              </w:rPr>
              <w:t>李</w:t>
            </w:r>
            <w:r w:rsidRPr="00A21839">
              <w:rPr>
                <w:rFonts w:asciiTheme="minorEastAsia" w:eastAsiaTheme="minorEastAsia" w:hAnsiTheme="minorEastAsia" w:cs="宋体"/>
                <w:bCs/>
                <w:sz w:val="24"/>
              </w:rPr>
              <w:t>忠贞</w:t>
            </w:r>
          </w:p>
        </w:tc>
        <w:tc>
          <w:tcPr>
            <w:tcW w:w="2419" w:type="dxa"/>
            <w:gridSpan w:val="3"/>
            <w:vAlign w:val="center"/>
          </w:tcPr>
          <w:p w:rsidR="00115A65" w:rsidRPr="00A21839" w:rsidRDefault="00115A65" w:rsidP="006304BC">
            <w:pPr>
              <w:jc w:val="center"/>
              <w:rPr>
                <w:rFonts w:asciiTheme="minorEastAsia" w:eastAsiaTheme="minorEastAsia" w:hAnsiTheme="minorEastAsia" w:cs="宋体"/>
                <w:bCs/>
                <w:sz w:val="24"/>
              </w:rPr>
            </w:pPr>
            <w:r w:rsidRPr="00A21839">
              <w:rPr>
                <w:rFonts w:asciiTheme="minorEastAsia" w:eastAsiaTheme="minorEastAsia" w:hAnsiTheme="minorEastAsia" w:cs="宋体" w:hint="eastAsia"/>
                <w:bCs/>
                <w:sz w:val="24"/>
              </w:rPr>
              <w:t>联系电话（手机）</w:t>
            </w:r>
          </w:p>
        </w:tc>
        <w:tc>
          <w:tcPr>
            <w:tcW w:w="2484" w:type="dxa"/>
            <w:vAlign w:val="center"/>
          </w:tcPr>
          <w:p w:rsidR="00115A65" w:rsidRPr="00A21839" w:rsidRDefault="00115A65" w:rsidP="006304BC">
            <w:pPr>
              <w:jc w:val="center"/>
              <w:rPr>
                <w:rFonts w:asciiTheme="minorEastAsia" w:eastAsiaTheme="minorEastAsia" w:hAnsiTheme="minorEastAsia" w:cs="宋体"/>
                <w:bCs/>
                <w:sz w:val="24"/>
              </w:rPr>
            </w:pPr>
            <w:r w:rsidRPr="00A21839">
              <w:rPr>
                <w:rFonts w:asciiTheme="minorEastAsia" w:eastAsiaTheme="minorEastAsia" w:hAnsiTheme="minorEastAsia" w:cs="宋体" w:hint="eastAsia"/>
                <w:bCs/>
                <w:sz w:val="24"/>
              </w:rPr>
              <w:t>5101807</w:t>
            </w:r>
          </w:p>
        </w:tc>
      </w:tr>
      <w:tr w:rsidR="00115A65" w:rsidTr="001767C8">
        <w:trPr>
          <w:trHeight w:val="728"/>
        </w:trPr>
        <w:tc>
          <w:tcPr>
            <w:tcW w:w="2074" w:type="dxa"/>
            <w:vAlign w:val="center"/>
          </w:tcPr>
          <w:p w:rsidR="00115A65" w:rsidRPr="000B7390" w:rsidRDefault="00115A65" w:rsidP="0019278E">
            <w:pPr>
              <w:jc w:val="center"/>
              <w:rPr>
                <w:rFonts w:ascii="宋体" w:hAnsi="宋体" w:cs="宋体"/>
                <w:bCs/>
                <w:sz w:val="24"/>
              </w:rPr>
            </w:pPr>
            <w:r>
              <w:rPr>
                <w:rFonts w:ascii="宋体" w:hAnsi="宋体" w:cs="宋体" w:hint="eastAsia"/>
                <w:bCs/>
                <w:sz w:val="24"/>
              </w:rPr>
              <w:t>通讯地址</w:t>
            </w:r>
          </w:p>
        </w:tc>
        <w:tc>
          <w:tcPr>
            <w:tcW w:w="6757" w:type="dxa"/>
            <w:gridSpan w:val="5"/>
            <w:vAlign w:val="center"/>
          </w:tcPr>
          <w:p w:rsidR="00115A65" w:rsidRPr="00A21839" w:rsidRDefault="00115A65" w:rsidP="006304BC">
            <w:pPr>
              <w:jc w:val="center"/>
              <w:rPr>
                <w:rFonts w:asciiTheme="minorEastAsia" w:eastAsiaTheme="minorEastAsia" w:hAnsiTheme="minorEastAsia" w:cs="宋体"/>
                <w:bCs/>
                <w:sz w:val="24"/>
              </w:rPr>
            </w:pPr>
            <w:r w:rsidRPr="00A21839">
              <w:rPr>
                <w:rFonts w:asciiTheme="minorEastAsia" w:eastAsiaTheme="minorEastAsia" w:hAnsiTheme="minorEastAsia" w:cs="宋体"/>
                <w:bCs/>
                <w:sz w:val="24"/>
              </w:rPr>
              <w:t>山西太原古交市西曲矿生产科</w:t>
            </w:r>
          </w:p>
        </w:tc>
      </w:tr>
      <w:tr w:rsidR="006A4578" w:rsidRPr="007429A2" w:rsidTr="00DB6AF8">
        <w:trPr>
          <w:trHeight w:val="4668"/>
        </w:trPr>
        <w:tc>
          <w:tcPr>
            <w:tcW w:w="8831" w:type="dxa"/>
            <w:gridSpan w:val="6"/>
          </w:tcPr>
          <w:p w:rsidR="00D839E6" w:rsidRPr="007429A2" w:rsidRDefault="00D839E6" w:rsidP="00DB6AF8">
            <w:pPr>
              <w:spacing w:line="480" w:lineRule="auto"/>
              <w:rPr>
                <w:sz w:val="24"/>
              </w:rPr>
            </w:pPr>
            <w:r w:rsidRPr="007429A2">
              <w:rPr>
                <w:rFonts w:hint="eastAsia"/>
                <w:sz w:val="24"/>
              </w:rPr>
              <w:t>（一）技术内容</w:t>
            </w:r>
          </w:p>
          <w:p w:rsidR="00D839E6" w:rsidRPr="007429A2" w:rsidRDefault="00D839E6" w:rsidP="00DB6AF8">
            <w:pPr>
              <w:numPr>
                <w:ilvl w:val="0"/>
                <w:numId w:val="7"/>
              </w:numPr>
              <w:spacing w:line="480" w:lineRule="auto"/>
              <w:rPr>
                <w:sz w:val="24"/>
              </w:rPr>
            </w:pPr>
            <w:r w:rsidRPr="007429A2">
              <w:rPr>
                <w:rFonts w:hint="eastAsia"/>
                <w:sz w:val="24"/>
              </w:rPr>
              <w:t>研究背景、目的及意义；</w:t>
            </w:r>
          </w:p>
          <w:p w:rsidR="00D839E6" w:rsidRPr="007429A2" w:rsidRDefault="00D839E6" w:rsidP="00DB6AF8">
            <w:pPr>
              <w:spacing w:line="480" w:lineRule="auto"/>
              <w:ind w:firstLineChars="200" w:firstLine="480"/>
              <w:rPr>
                <w:sz w:val="24"/>
              </w:rPr>
            </w:pPr>
            <w:r w:rsidRPr="007429A2">
              <w:rPr>
                <w:rFonts w:hint="eastAsia"/>
                <w:sz w:val="24"/>
              </w:rPr>
              <w:t>针对西曲矿回采工作面过构造期间炮眼布置多、爆破效果不明显，单次爆破后推进度小；开掘工作面单月进尺少等问题，本项目主要研究中深孔爆破技术在西曲矿试验的可行性方案并应用到现场，以期解决以上问题，该技术若试验成功，可作为西曲矿一亮点工程推广应用。</w:t>
            </w:r>
          </w:p>
          <w:p w:rsidR="00D839E6" w:rsidRPr="007429A2" w:rsidRDefault="00D839E6" w:rsidP="00DB6AF8">
            <w:pPr>
              <w:numPr>
                <w:ilvl w:val="0"/>
                <w:numId w:val="7"/>
              </w:numPr>
              <w:spacing w:line="480" w:lineRule="auto"/>
              <w:rPr>
                <w:sz w:val="24"/>
              </w:rPr>
            </w:pPr>
            <w:r w:rsidRPr="007429A2">
              <w:rPr>
                <w:rFonts w:hint="eastAsia"/>
                <w:sz w:val="24"/>
              </w:rPr>
              <w:t>技术原理、关键技术参数等；</w:t>
            </w:r>
          </w:p>
          <w:p w:rsidR="00D839E6" w:rsidRPr="007429A2" w:rsidRDefault="00D839E6" w:rsidP="00DB6AF8">
            <w:pPr>
              <w:spacing w:line="480" w:lineRule="auto"/>
              <w:ind w:firstLineChars="200" w:firstLine="480"/>
              <w:rPr>
                <w:sz w:val="24"/>
              </w:rPr>
            </w:pPr>
            <w:r w:rsidRPr="007429A2">
              <w:rPr>
                <w:rFonts w:hint="eastAsia"/>
                <w:sz w:val="24"/>
              </w:rPr>
              <w:t>综采工作面过断层处石头较硬（普式硬度大于</w:t>
            </w:r>
            <w:r w:rsidRPr="007429A2">
              <w:rPr>
                <w:rFonts w:hint="eastAsia"/>
                <w:sz w:val="24"/>
              </w:rPr>
              <w:t>4</w:t>
            </w:r>
            <w:r w:rsidRPr="007429A2">
              <w:rPr>
                <w:rFonts w:hint="eastAsia"/>
                <w:sz w:val="24"/>
              </w:rPr>
              <w:t>），采用打眼放炮为主，采机配合为辅的方式通过该区域。</w:t>
            </w:r>
          </w:p>
          <w:p w:rsidR="00D839E6" w:rsidRPr="007429A2" w:rsidRDefault="00D839E6" w:rsidP="00DB6AF8">
            <w:pPr>
              <w:spacing w:line="480" w:lineRule="auto"/>
              <w:ind w:firstLineChars="200" w:firstLine="480"/>
              <w:rPr>
                <w:sz w:val="24"/>
              </w:rPr>
            </w:pPr>
            <w:r w:rsidRPr="007429A2">
              <w:rPr>
                <w:rFonts w:hint="eastAsia"/>
                <w:sz w:val="24"/>
              </w:rPr>
              <w:t>工艺流程：准备工作—打眼—（检查瓦斯）装药—联线—（检查瓦斯）放炮（检查瓦斯）—清渣（采机通过）</w:t>
            </w:r>
          </w:p>
          <w:p w:rsidR="00DB6AF8" w:rsidRPr="007429A2" w:rsidRDefault="00D839E6" w:rsidP="00DB6AF8">
            <w:pPr>
              <w:spacing w:line="480" w:lineRule="auto"/>
              <w:ind w:firstLineChars="200" w:firstLine="480"/>
              <w:rPr>
                <w:sz w:val="24"/>
              </w:rPr>
            </w:pPr>
            <w:r w:rsidRPr="007429A2">
              <w:rPr>
                <w:rFonts w:hint="eastAsia"/>
                <w:sz w:val="24"/>
              </w:rPr>
              <w:t>人工打眼放炮，采用正向串联方式装药，一次打眼，一次装药，一次起爆，每次爆破不得超过</w:t>
            </w:r>
            <w:r w:rsidRPr="007429A2">
              <w:rPr>
                <w:rFonts w:hint="eastAsia"/>
                <w:sz w:val="24"/>
              </w:rPr>
              <w:t>3</w:t>
            </w:r>
            <w:r w:rsidRPr="007429A2">
              <w:rPr>
                <w:rFonts w:hint="eastAsia"/>
                <w:sz w:val="24"/>
              </w:rPr>
              <w:t>架，两段构造处可同时打眼，严禁同时装药、爆破。顶眼采用垂直煤壁打设，掏槽眼与煤壁呈</w:t>
            </w:r>
            <w:r w:rsidRPr="007429A2">
              <w:rPr>
                <w:rFonts w:hint="eastAsia"/>
                <w:sz w:val="24"/>
              </w:rPr>
              <w:t>65</w:t>
            </w:r>
            <w:r w:rsidRPr="007429A2">
              <w:rPr>
                <w:rFonts w:hint="eastAsia"/>
                <w:sz w:val="24"/>
              </w:rPr>
              <w:t>°偏向机尾，底眼与煤壁呈</w:t>
            </w:r>
            <w:r w:rsidRPr="007429A2">
              <w:rPr>
                <w:rFonts w:hint="eastAsia"/>
                <w:sz w:val="24"/>
              </w:rPr>
              <w:t>75</w:t>
            </w:r>
            <w:r w:rsidRPr="007429A2">
              <w:rPr>
                <w:rFonts w:hint="eastAsia"/>
                <w:sz w:val="24"/>
              </w:rPr>
              <w:t>°偏向底板，顶眼</w:t>
            </w:r>
            <w:r w:rsidRPr="007429A2">
              <w:rPr>
                <w:rFonts w:hint="eastAsia"/>
                <w:sz w:val="24"/>
              </w:rPr>
              <w:lastRenderedPageBreak/>
              <w:t>使用Ⅴ段雷管，掏槽眼使用Ⅰ段雷管，底眼使用Ⅲ段雷管。</w:t>
            </w:r>
          </w:p>
          <w:p w:rsidR="00D839E6" w:rsidRPr="007429A2" w:rsidRDefault="00D839E6" w:rsidP="00DB6AF8">
            <w:pPr>
              <w:spacing w:line="480" w:lineRule="auto"/>
              <w:rPr>
                <w:sz w:val="24"/>
              </w:rPr>
            </w:pPr>
            <w:r w:rsidRPr="007429A2">
              <w:rPr>
                <w:noProof/>
                <w:sz w:val="24"/>
              </w:rPr>
              <w:drawing>
                <wp:inline distT="0" distB="0" distL="114300" distR="114300">
                  <wp:extent cx="4712335" cy="3013710"/>
                  <wp:effectExtent l="0" t="0" r="0"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4712335" cy="3013710"/>
                          </a:xfrm>
                          <a:prstGeom prst="rect">
                            <a:avLst/>
                          </a:prstGeom>
                          <a:noFill/>
                          <a:ln>
                            <a:noFill/>
                          </a:ln>
                        </pic:spPr>
                      </pic:pic>
                    </a:graphicData>
                  </a:graphic>
                </wp:inline>
              </w:drawing>
            </w:r>
          </w:p>
          <w:p w:rsidR="00D839E6" w:rsidRPr="007429A2" w:rsidRDefault="00D839E6" w:rsidP="00DB6AF8">
            <w:pPr>
              <w:spacing w:line="480" w:lineRule="auto"/>
              <w:rPr>
                <w:sz w:val="24"/>
              </w:rPr>
            </w:pPr>
          </w:p>
          <w:p w:rsidR="00D839E6" w:rsidRPr="007429A2" w:rsidRDefault="00D839E6" w:rsidP="00DB6AF8">
            <w:pPr>
              <w:spacing w:line="480" w:lineRule="auto"/>
              <w:rPr>
                <w:sz w:val="24"/>
              </w:rPr>
            </w:pPr>
            <w:r w:rsidRPr="007429A2">
              <w:rPr>
                <w:noProof/>
                <w:sz w:val="24"/>
              </w:rPr>
              <w:drawing>
                <wp:inline distT="0" distB="0" distL="114300" distR="114300">
                  <wp:extent cx="5426075" cy="2839085"/>
                  <wp:effectExtent l="0" t="0" r="3175" b="184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5426075" cy="2839085"/>
                          </a:xfrm>
                          <a:prstGeom prst="rect">
                            <a:avLst/>
                          </a:prstGeom>
                          <a:noFill/>
                          <a:ln>
                            <a:noFill/>
                          </a:ln>
                        </pic:spPr>
                      </pic:pic>
                    </a:graphicData>
                  </a:graphic>
                </wp:inline>
              </w:drawing>
            </w:r>
          </w:p>
          <w:p w:rsidR="00D839E6" w:rsidRPr="007429A2" w:rsidRDefault="00D839E6" w:rsidP="00DB6AF8">
            <w:pPr>
              <w:spacing w:line="480" w:lineRule="auto"/>
              <w:rPr>
                <w:sz w:val="24"/>
              </w:rPr>
            </w:pPr>
          </w:p>
          <w:p w:rsidR="00D839E6" w:rsidRPr="007429A2" w:rsidRDefault="00D839E6" w:rsidP="00DB6AF8">
            <w:pPr>
              <w:numPr>
                <w:ilvl w:val="0"/>
                <w:numId w:val="7"/>
              </w:numPr>
              <w:spacing w:line="480" w:lineRule="auto"/>
              <w:rPr>
                <w:sz w:val="24"/>
              </w:rPr>
            </w:pPr>
            <w:r w:rsidRPr="007429A2">
              <w:rPr>
                <w:rFonts w:hint="eastAsia"/>
                <w:sz w:val="24"/>
              </w:rPr>
              <w:t>适用范围与条件、同类技术对比等；</w:t>
            </w:r>
          </w:p>
          <w:p w:rsidR="00D839E6" w:rsidRPr="007429A2" w:rsidRDefault="00D839E6" w:rsidP="00DB6AF8">
            <w:pPr>
              <w:spacing w:line="480" w:lineRule="auto"/>
              <w:ind w:firstLineChars="200" w:firstLine="480"/>
              <w:rPr>
                <w:sz w:val="24"/>
              </w:rPr>
            </w:pPr>
            <w:r w:rsidRPr="007429A2">
              <w:rPr>
                <w:rFonts w:hint="eastAsia"/>
                <w:sz w:val="24"/>
              </w:rPr>
              <w:t>该技术适用于普氏硬度系数不大于</w:t>
            </w:r>
            <w:r w:rsidRPr="007429A2">
              <w:rPr>
                <w:rFonts w:hint="eastAsia"/>
                <w:sz w:val="24"/>
              </w:rPr>
              <w:t>13</w:t>
            </w:r>
            <w:r w:rsidRPr="007429A2">
              <w:rPr>
                <w:rFonts w:hint="eastAsia"/>
                <w:sz w:val="24"/>
              </w:rPr>
              <w:t>的岩石。</w:t>
            </w:r>
          </w:p>
          <w:p w:rsidR="00D839E6" w:rsidRPr="007429A2" w:rsidRDefault="00D839E6" w:rsidP="00DB6AF8">
            <w:pPr>
              <w:spacing w:line="480" w:lineRule="auto"/>
              <w:ind w:firstLineChars="200" w:firstLine="480"/>
              <w:rPr>
                <w:sz w:val="24"/>
              </w:rPr>
            </w:pPr>
            <w:r w:rsidRPr="007429A2">
              <w:rPr>
                <w:sz w:val="24"/>
              </w:rPr>
              <w:t>与普通爆破相比，</w:t>
            </w:r>
            <w:r w:rsidRPr="007429A2">
              <w:rPr>
                <w:rFonts w:hint="eastAsia"/>
                <w:sz w:val="24"/>
              </w:rPr>
              <w:t>炮眼数量少，炮眼间距大，打眼时间短。</w:t>
            </w:r>
          </w:p>
          <w:p w:rsidR="00D839E6" w:rsidRPr="007429A2" w:rsidRDefault="00D839E6" w:rsidP="00DB6AF8">
            <w:pPr>
              <w:numPr>
                <w:ilvl w:val="0"/>
                <w:numId w:val="7"/>
              </w:numPr>
              <w:spacing w:line="480" w:lineRule="auto"/>
              <w:rPr>
                <w:sz w:val="24"/>
              </w:rPr>
            </w:pPr>
            <w:r w:rsidRPr="007429A2">
              <w:rPr>
                <w:rFonts w:hint="eastAsia"/>
                <w:sz w:val="24"/>
              </w:rPr>
              <w:lastRenderedPageBreak/>
              <w:t>技术特点与技术水平、发明专利、获奖情况等。</w:t>
            </w:r>
          </w:p>
          <w:p w:rsidR="00D839E6" w:rsidRPr="007429A2" w:rsidRDefault="00D839E6" w:rsidP="00DB6AF8">
            <w:pPr>
              <w:spacing w:line="480" w:lineRule="auto"/>
              <w:ind w:firstLineChars="200" w:firstLine="480"/>
              <w:rPr>
                <w:sz w:val="24"/>
              </w:rPr>
            </w:pPr>
            <w:r w:rsidRPr="007429A2">
              <w:rPr>
                <w:rFonts w:hint="eastAsia"/>
                <w:sz w:val="24"/>
              </w:rPr>
              <w:t>技术特点与技术水平：此次爆破试验所用的封孔材料水沙袋是一大亮点，它与水泡泥相比，有以下几个优点：水沙袋在爆破期间起作用，爆破能量越大，封孔效果越好；水沙袋更利于安装，且不需要捣实，既减少了工作量，又避免了药卷破损；处理瞎炮时，更容易被取出。</w:t>
            </w:r>
          </w:p>
          <w:p w:rsidR="001767C8" w:rsidRPr="00DB6AF8" w:rsidRDefault="00D839E6" w:rsidP="00DB6AF8">
            <w:pPr>
              <w:spacing w:line="480" w:lineRule="auto"/>
              <w:ind w:firstLineChars="200" w:firstLine="480"/>
              <w:rPr>
                <w:sz w:val="24"/>
              </w:rPr>
            </w:pPr>
            <w:r w:rsidRPr="007429A2">
              <w:rPr>
                <w:rFonts w:hint="eastAsia"/>
                <w:sz w:val="24"/>
              </w:rPr>
              <w:t>获奖情况：获得西山煤电科技进步三等奖。</w:t>
            </w:r>
          </w:p>
        </w:tc>
      </w:tr>
      <w:tr w:rsidR="00670257" w:rsidRPr="007429A2" w:rsidTr="00DB6AF8">
        <w:trPr>
          <w:trHeight w:val="9062"/>
        </w:trPr>
        <w:tc>
          <w:tcPr>
            <w:tcW w:w="8831" w:type="dxa"/>
            <w:gridSpan w:val="6"/>
          </w:tcPr>
          <w:p w:rsidR="007429A2" w:rsidRPr="007429A2" w:rsidRDefault="007429A2" w:rsidP="00DB6AF8">
            <w:pPr>
              <w:numPr>
                <w:ilvl w:val="0"/>
                <w:numId w:val="8"/>
              </w:numPr>
              <w:spacing w:line="480" w:lineRule="auto"/>
              <w:rPr>
                <w:sz w:val="24"/>
              </w:rPr>
            </w:pPr>
            <w:r w:rsidRPr="007429A2">
              <w:rPr>
                <w:rFonts w:hint="eastAsia"/>
                <w:sz w:val="24"/>
              </w:rPr>
              <w:lastRenderedPageBreak/>
              <w:t>推广及应用</w:t>
            </w:r>
          </w:p>
          <w:p w:rsidR="007429A2" w:rsidRPr="007429A2" w:rsidRDefault="007429A2" w:rsidP="00DB6AF8">
            <w:pPr>
              <w:numPr>
                <w:ilvl w:val="0"/>
                <w:numId w:val="9"/>
              </w:numPr>
              <w:spacing w:line="480" w:lineRule="auto"/>
              <w:rPr>
                <w:sz w:val="24"/>
              </w:rPr>
            </w:pPr>
            <w:r w:rsidRPr="007429A2">
              <w:rPr>
                <w:rFonts w:hint="eastAsia"/>
                <w:sz w:val="24"/>
              </w:rPr>
              <w:t>应用情况及效果；</w:t>
            </w:r>
          </w:p>
          <w:p w:rsidR="007429A2" w:rsidRPr="007429A2" w:rsidRDefault="007429A2" w:rsidP="00DB6AF8">
            <w:pPr>
              <w:spacing w:line="480" w:lineRule="auto"/>
              <w:ind w:firstLineChars="200" w:firstLine="480"/>
              <w:rPr>
                <w:sz w:val="24"/>
              </w:rPr>
            </w:pPr>
            <w:r w:rsidRPr="007429A2">
              <w:rPr>
                <w:rFonts w:hint="eastAsia"/>
                <w:sz w:val="24"/>
              </w:rPr>
              <w:t>应用情况良好，效果显著。缩短了打眼时间，减少了炮眼数量，增大了炮眼间距，爆破后，</w:t>
            </w:r>
            <w:r w:rsidRPr="007429A2">
              <w:rPr>
                <w:sz w:val="24"/>
              </w:rPr>
              <w:t>碎石散落范围相对较小，极少数碎石落到运输机外侧（支架立柱侧），利于清渣；爆破深度达</w:t>
            </w:r>
            <w:r w:rsidRPr="007429A2">
              <w:rPr>
                <w:sz w:val="24"/>
              </w:rPr>
              <w:t>1.0m—1.4m</w:t>
            </w:r>
            <w:r w:rsidRPr="007429A2">
              <w:rPr>
                <w:sz w:val="24"/>
              </w:rPr>
              <w:t>，可以满足两个循环（每个循环</w:t>
            </w:r>
            <w:r w:rsidRPr="007429A2">
              <w:rPr>
                <w:sz w:val="24"/>
              </w:rPr>
              <w:t>0.6m</w:t>
            </w:r>
            <w:r w:rsidRPr="007429A2">
              <w:rPr>
                <w:sz w:val="24"/>
              </w:rPr>
              <w:t>）的产量。</w:t>
            </w:r>
          </w:p>
          <w:p w:rsidR="007429A2" w:rsidRPr="007429A2" w:rsidRDefault="007429A2" w:rsidP="00DB6AF8">
            <w:pPr>
              <w:numPr>
                <w:ilvl w:val="0"/>
                <w:numId w:val="9"/>
              </w:numPr>
              <w:spacing w:line="480" w:lineRule="auto"/>
              <w:rPr>
                <w:sz w:val="24"/>
              </w:rPr>
            </w:pPr>
            <w:r w:rsidRPr="007429A2">
              <w:rPr>
                <w:rFonts w:hint="eastAsia"/>
                <w:sz w:val="24"/>
              </w:rPr>
              <w:t>典型案例简介（应用单位名称、解决的问题、取得的技术和经济效益等）。</w:t>
            </w:r>
          </w:p>
          <w:p w:rsidR="007429A2" w:rsidRPr="007429A2" w:rsidRDefault="007429A2" w:rsidP="00DB6AF8">
            <w:pPr>
              <w:spacing w:line="480" w:lineRule="auto"/>
              <w:ind w:firstLineChars="200" w:firstLine="480"/>
              <w:rPr>
                <w:sz w:val="24"/>
              </w:rPr>
            </w:pPr>
            <w:r w:rsidRPr="007429A2">
              <w:rPr>
                <w:rFonts w:hint="eastAsia"/>
                <w:sz w:val="24"/>
              </w:rPr>
              <w:t>应用单位名称：西曲矿综采二队</w:t>
            </w:r>
          </w:p>
          <w:p w:rsidR="007429A2" w:rsidRPr="007429A2" w:rsidRDefault="007429A2" w:rsidP="00DB6AF8">
            <w:pPr>
              <w:spacing w:line="480" w:lineRule="auto"/>
              <w:ind w:firstLineChars="200" w:firstLine="480"/>
              <w:rPr>
                <w:sz w:val="24"/>
              </w:rPr>
            </w:pPr>
            <w:r w:rsidRPr="007429A2">
              <w:rPr>
                <w:rFonts w:hint="eastAsia"/>
                <w:sz w:val="24"/>
              </w:rPr>
              <w:t>解决的问题；西曲矿所回采的</w:t>
            </w:r>
            <w:r w:rsidRPr="007429A2">
              <w:rPr>
                <w:rFonts w:hint="eastAsia"/>
                <w:sz w:val="24"/>
              </w:rPr>
              <w:t>14308</w:t>
            </w:r>
            <w:r w:rsidRPr="007429A2">
              <w:rPr>
                <w:rFonts w:hint="eastAsia"/>
                <w:sz w:val="24"/>
              </w:rPr>
              <w:t>工作面，</w:t>
            </w:r>
            <w:r w:rsidRPr="007429A2">
              <w:rPr>
                <w:rFonts w:hint="eastAsia"/>
                <w:sz w:val="24"/>
              </w:rPr>
              <w:t>72#-78#</w:t>
            </w:r>
            <w:r w:rsidRPr="007429A2">
              <w:rPr>
                <w:rFonts w:hint="eastAsia"/>
                <w:sz w:val="24"/>
              </w:rPr>
              <w:t>架过断层，全岩。为确保安全顺利通过断层，采用爆破作业方式。过构造期间，缩短了打眼时间，减少了炮眼数量，增大了炮眼间距，爆破后，能满足两个循环进尺。</w:t>
            </w:r>
          </w:p>
          <w:p w:rsidR="007429A2" w:rsidRPr="007429A2" w:rsidRDefault="007429A2" w:rsidP="00DB6AF8">
            <w:pPr>
              <w:spacing w:line="480" w:lineRule="auto"/>
              <w:ind w:firstLineChars="200" w:firstLine="480"/>
              <w:rPr>
                <w:sz w:val="24"/>
              </w:rPr>
            </w:pPr>
            <w:r w:rsidRPr="007429A2">
              <w:rPr>
                <w:rFonts w:asciiTheme="minorHAnsi" w:eastAsiaTheme="minorEastAsia" w:hAnsiTheme="minorHAnsi" w:cstheme="minorBidi" w:hint="eastAsia"/>
                <w:sz w:val="24"/>
              </w:rPr>
              <w:t>取得的技术和经济效益：此次爆破试验成果对西曲矿</w:t>
            </w:r>
            <w:r w:rsidRPr="007429A2">
              <w:rPr>
                <w:rFonts w:asciiTheme="minorHAnsi" w:eastAsiaTheme="minorEastAsia" w:hAnsiTheme="minorHAnsi" w:cstheme="minorBidi" w:hint="eastAsia"/>
                <w:sz w:val="24"/>
              </w:rPr>
              <w:t>4#</w:t>
            </w:r>
            <w:r w:rsidRPr="007429A2">
              <w:rPr>
                <w:rFonts w:asciiTheme="minorHAnsi" w:eastAsiaTheme="minorEastAsia" w:hAnsiTheme="minorHAnsi" w:cstheme="minorBidi" w:hint="eastAsia"/>
                <w:sz w:val="24"/>
              </w:rPr>
              <w:t>煤工作面过类似构造具有重要的参考价值，而且缩短了打眼时间，减少了炮眼数量，增大了炮眼间距，减少了工人劳动强度，为矿井安全生产提供了有力保障，由此带来的经济效益不可估量。</w:t>
            </w:r>
          </w:p>
          <w:p w:rsidR="003E2BDF" w:rsidRPr="007429A2" w:rsidRDefault="003E2BDF" w:rsidP="0019278E">
            <w:pPr>
              <w:snapToGrid w:val="0"/>
              <w:spacing w:line="360" w:lineRule="auto"/>
              <w:ind w:firstLineChars="200" w:firstLine="480"/>
              <w:rPr>
                <w:rFonts w:ascii="宋体" w:hAnsi="宋体" w:cs="宋体"/>
                <w:bCs/>
                <w:sz w:val="24"/>
              </w:rPr>
            </w:pPr>
          </w:p>
        </w:tc>
      </w:tr>
    </w:tbl>
    <w:p w:rsidR="007429A2" w:rsidRPr="007429A2" w:rsidRDefault="007429A2" w:rsidP="007429A2">
      <w:pPr>
        <w:rPr>
          <w:sz w:val="24"/>
        </w:rPr>
      </w:pPr>
    </w:p>
    <w:p w:rsidR="007429A2" w:rsidRDefault="007429A2" w:rsidP="007429A2">
      <w:r>
        <w:rPr>
          <w:rFonts w:hint="eastAsia"/>
        </w:rPr>
        <w:t>证明材料</w:t>
      </w:r>
    </w:p>
    <w:p w:rsidR="007429A2" w:rsidRDefault="007429A2" w:rsidP="007429A2">
      <w:pPr>
        <w:numPr>
          <w:ilvl w:val="0"/>
          <w:numId w:val="11"/>
        </w:numPr>
      </w:pPr>
      <w:r>
        <w:rPr>
          <w:rFonts w:hint="eastAsia"/>
        </w:rPr>
        <w:t>技术照片</w:t>
      </w:r>
    </w:p>
    <w:p w:rsidR="007429A2" w:rsidRDefault="007429A2" w:rsidP="007429A2">
      <w:r>
        <w:rPr>
          <w:rFonts w:hint="eastAsia"/>
          <w:noProof/>
        </w:rPr>
        <w:drawing>
          <wp:inline distT="0" distB="0" distL="114300" distR="114300">
            <wp:extent cx="5013960" cy="2813685"/>
            <wp:effectExtent l="0" t="0" r="15240" b="5715"/>
            <wp:docPr id="3" name="图片 3" descr="微信图片_20200413153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00413153449"/>
                    <pic:cNvPicPr>
                      <a:picLocks noChangeAspect="1"/>
                    </pic:cNvPicPr>
                  </pic:nvPicPr>
                  <pic:blipFill>
                    <a:blip r:embed="rId9" cstate="print"/>
                    <a:stretch>
                      <a:fillRect/>
                    </a:stretch>
                  </pic:blipFill>
                  <pic:spPr>
                    <a:xfrm>
                      <a:off x="0" y="0"/>
                      <a:ext cx="5013960" cy="2813685"/>
                    </a:xfrm>
                    <a:prstGeom prst="rect">
                      <a:avLst/>
                    </a:prstGeom>
                    <a:noFill/>
                    <a:ln>
                      <a:noFill/>
                    </a:ln>
                  </pic:spPr>
                </pic:pic>
              </a:graphicData>
            </a:graphic>
          </wp:inline>
        </w:drawing>
      </w:r>
      <w:r>
        <w:rPr>
          <w:rFonts w:hint="eastAsia"/>
          <w:noProof/>
        </w:rPr>
        <w:drawing>
          <wp:inline distT="0" distB="0" distL="114300" distR="114300">
            <wp:extent cx="5024120" cy="2818765"/>
            <wp:effectExtent l="0" t="0" r="5080" b="635"/>
            <wp:docPr id="4" name="图片 4" descr="微信图片_20200413153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00413153455"/>
                    <pic:cNvPicPr>
                      <a:picLocks noChangeAspect="1"/>
                    </pic:cNvPicPr>
                  </pic:nvPicPr>
                  <pic:blipFill>
                    <a:blip r:embed="rId10" cstate="print"/>
                    <a:stretch>
                      <a:fillRect/>
                    </a:stretch>
                  </pic:blipFill>
                  <pic:spPr>
                    <a:xfrm>
                      <a:off x="0" y="0"/>
                      <a:ext cx="5024120" cy="2818765"/>
                    </a:xfrm>
                    <a:prstGeom prst="rect">
                      <a:avLst/>
                    </a:prstGeom>
                    <a:noFill/>
                    <a:ln>
                      <a:noFill/>
                    </a:ln>
                  </pic:spPr>
                </pic:pic>
              </a:graphicData>
            </a:graphic>
          </wp:inline>
        </w:drawing>
      </w:r>
      <w:r>
        <w:rPr>
          <w:rFonts w:hint="eastAsia"/>
          <w:noProof/>
        </w:rPr>
        <w:lastRenderedPageBreak/>
        <w:drawing>
          <wp:inline distT="0" distB="0" distL="114300" distR="114300">
            <wp:extent cx="5013960" cy="2813685"/>
            <wp:effectExtent l="0" t="0" r="15240" b="5715"/>
            <wp:docPr id="5" name="图片 5" descr="微信图片_20200413153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00413153442"/>
                    <pic:cNvPicPr>
                      <a:picLocks noChangeAspect="1"/>
                    </pic:cNvPicPr>
                  </pic:nvPicPr>
                  <pic:blipFill>
                    <a:blip r:embed="rId11" cstate="print"/>
                    <a:stretch>
                      <a:fillRect/>
                    </a:stretch>
                  </pic:blipFill>
                  <pic:spPr>
                    <a:xfrm>
                      <a:off x="0" y="0"/>
                      <a:ext cx="5013960" cy="2813685"/>
                    </a:xfrm>
                    <a:prstGeom prst="rect">
                      <a:avLst/>
                    </a:prstGeom>
                    <a:noFill/>
                    <a:ln>
                      <a:noFill/>
                    </a:ln>
                  </pic:spPr>
                </pic:pic>
              </a:graphicData>
            </a:graphic>
          </wp:inline>
        </w:drawing>
      </w:r>
    </w:p>
    <w:p w:rsidR="007429A2" w:rsidRDefault="007429A2" w:rsidP="007429A2">
      <w:pPr>
        <w:numPr>
          <w:ilvl w:val="0"/>
          <w:numId w:val="11"/>
        </w:numPr>
      </w:pPr>
      <w:r>
        <w:rPr>
          <w:rFonts w:hint="eastAsia"/>
        </w:rPr>
        <w:t>成果证书</w:t>
      </w:r>
    </w:p>
    <w:p w:rsidR="007429A2" w:rsidRDefault="007429A2" w:rsidP="007429A2">
      <w:bookmarkStart w:id="0" w:name="_GoBack"/>
      <w:bookmarkEnd w:id="0"/>
      <w:r>
        <w:rPr>
          <w:rFonts w:hint="eastAsia"/>
        </w:rPr>
        <w:t>西山煤电科技进步三等奖</w:t>
      </w:r>
    </w:p>
    <w:p w:rsidR="00670257" w:rsidRPr="007429A2" w:rsidRDefault="00670257" w:rsidP="00670257">
      <w:pPr>
        <w:spacing w:line="460" w:lineRule="exact"/>
      </w:pPr>
    </w:p>
    <w:p w:rsidR="00D81EB9" w:rsidRPr="00670257" w:rsidRDefault="00D81EB9"/>
    <w:sectPr w:rsidR="00D81EB9" w:rsidRPr="00670257" w:rsidSect="00675A82">
      <w:footerReference w:type="default" r:id="rId12"/>
      <w:pgSz w:w="11906" w:h="16838"/>
      <w:pgMar w:top="1440" w:right="1800" w:bottom="1440" w:left="1800" w:header="851" w:footer="992" w:gutter="0"/>
      <w:pgNumType w:start="3"/>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2FA2" w:rsidRDefault="00C32FA2" w:rsidP="00670257">
      <w:r>
        <w:separator/>
      </w:r>
    </w:p>
  </w:endnote>
  <w:endnote w:type="continuationSeparator" w:id="1">
    <w:p w:rsidR="00C32FA2" w:rsidRDefault="00C32FA2" w:rsidP="0067025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08C" w:rsidRDefault="001E01D1">
    <w:pPr>
      <w:pStyle w:val="a4"/>
    </w:pPr>
    <w:r>
      <w:pict>
        <v:shapetype id="_x0000_t202" coordsize="21600,21600" o:spt="202" path="m,l,21600r21600,l21600,xe">
          <v:stroke joinstyle="miter"/>
          <v:path gradientshapeok="t" o:connecttype="rect"/>
        </v:shapetype>
        <v:shape id="文本框 1" o:spid="_x0000_s1025" type="#_x0000_t202" style="position:absolute;margin-left:0;margin-top:0;width:2in;height:2in;z-index:251660288;mso-wrap-style:none;mso-position-horizontal:center;mso-position-horizontal-relative:margin" filled="f" stroked="f">
          <v:fill o:detectmouseclick="t"/>
          <v:textbox style="mso-fit-shape-to-text:t" inset="0,0,0,0">
            <w:txbxContent>
              <w:p w:rsidR="00A4008C" w:rsidRDefault="001E01D1">
                <w:pPr>
                  <w:snapToGrid w:val="0"/>
                  <w:rPr>
                    <w:sz w:val="18"/>
                  </w:rPr>
                </w:pPr>
                <w:r>
                  <w:rPr>
                    <w:rFonts w:hint="eastAsia"/>
                    <w:sz w:val="18"/>
                  </w:rPr>
                  <w:fldChar w:fldCharType="begin"/>
                </w:r>
                <w:r w:rsidR="00D81EB9">
                  <w:rPr>
                    <w:rFonts w:hint="eastAsia"/>
                    <w:sz w:val="18"/>
                  </w:rPr>
                  <w:instrText xml:space="preserve"> PAGE  \* MERGEFORMAT </w:instrText>
                </w:r>
                <w:r>
                  <w:rPr>
                    <w:rFonts w:hint="eastAsia"/>
                    <w:sz w:val="18"/>
                  </w:rPr>
                  <w:fldChar w:fldCharType="separate"/>
                </w:r>
                <w:r w:rsidR="00E91264">
                  <w:rPr>
                    <w:noProof/>
                    <w:sz w:val="18"/>
                  </w:rPr>
                  <w:t>3</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2FA2" w:rsidRDefault="00C32FA2" w:rsidP="00670257">
      <w:r>
        <w:separator/>
      </w:r>
    </w:p>
  </w:footnote>
  <w:footnote w:type="continuationSeparator" w:id="1">
    <w:p w:rsidR="00C32FA2" w:rsidRDefault="00C32FA2" w:rsidP="0067025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A1B88AB"/>
    <w:multiLevelType w:val="singleLevel"/>
    <w:tmpl w:val="9A1B88AB"/>
    <w:lvl w:ilvl="0">
      <w:start w:val="1"/>
      <w:numFmt w:val="decimal"/>
      <w:suff w:val="nothing"/>
      <w:lvlText w:val="%1、"/>
      <w:lvlJc w:val="left"/>
    </w:lvl>
  </w:abstractNum>
  <w:abstractNum w:abstractNumId="1">
    <w:nsid w:val="DDDAEC12"/>
    <w:multiLevelType w:val="singleLevel"/>
    <w:tmpl w:val="DDDAEC12"/>
    <w:lvl w:ilvl="0">
      <w:start w:val="1"/>
      <w:numFmt w:val="chineseCounting"/>
      <w:suff w:val="nothing"/>
      <w:lvlText w:val="（%1）"/>
      <w:lvlJc w:val="left"/>
      <w:rPr>
        <w:rFonts w:hint="eastAsia"/>
      </w:rPr>
    </w:lvl>
  </w:abstractNum>
  <w:abstractNum w:abstractNumId="2">
    <w:nsid w:val="E11035FC"/>
    <w:multiLevelType w:val="singleLevel"/>
    <w:tmpl w:val="E11035FC"/>
    <w:lvl w:ilvl="0">
      <w:start w:val="2"/>
      <w:numFmt w:val="chineseCounting"/>
      <w:suff w:val="nothing"/>
      <w:lvlText w:val="（%1）"/>
      <w:lvlJc w:val="left"/>
      <w:rPr>
        <w:rFonts w:hint="eastAsia"/>
      </w:rPr>
    </w:lvl>
  </w:abstractNum>
  <w:abstractNum w:abstractNumId="3">
    <w:nsid w:val="12FC3FD6"/>
    <w:multiLevelType w:val="singleLevel"/>
    <w:tmpl w:val="12FC3FD6"/>
    <w:lvl w:ilvl="0">
      <w:start w:val="4"/>
      <w:numFmt w:val="decimal"/>
      <w:suff w:val="nothing"/>
      <w:lvlText w:val="%1）"/>
      <w:lvlJc w:val="left"/>
    </w:lvl>
  </w:abstractNum>
  <w:abstractNum w:abstractNumId="4">
    <w:nsid w:val="18EC5A88"/>
    <w:multiLevelType w:val="singleLevel"/>
    <w:tmpl w:val="18EC5A88"/>
    <w:lvl w:ilvl="0">
      <w:start w:val="2"/>
      <w:numFmt w:val="chineseCounting"/>
      <w:suff w:val="nothing"/>
      <w:lvlText w:val="%1、"/>
      <w:lvlJc w:val="left"/>
      <w:rPr>
        <w:rFonts w:hint="eastAsia"/>
      </w:rPr>
    </w:lvl>
  </w:abstractNum>
  <w:abstractNum w:abstractNumId="5">
    <w:nsid w:val="3EE93613"/>
    <w:multiLevelType w:val="singleLevel"/>
    <w:tmpl w:val="3EE93613"/>
    <w:lvl w:ilvl="0">
      <w:start w:val="1"/>
      <w:numFmt w:val="decimal"/>
      <w:lvlText w:val="%1."/>
      <w:lvlJc w:val="left"/>
      <w:pPr>
        <w:tabs>
          <w:tab w:val="left" w:pos="312"/>
        </w:tabs>
      </w:pPr>
    </w:lvl>
  </w:abstractNum>
  <w:abstractNum w:abstractNumId="6">
    <w:nsid w:val="4A8F0DCC"/>
    <w:multiLevelType w:val="hybridMultilevel"/>
    <w:tmpl w:val="123E30E0"/>
    <w:lvl w:ilvl="0" w:tplc="8C701812">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7">
    <w:nsid w:val="678523CF"/>
    <w:multiLevelType w:val="hybridMultilevel"/>
    <w:tmpl w:val="C4EAC964"/>
    <w:lvl w:ilvl="0" w:tplc="8C701812">
      <w:start w:val="1"/>
      <w:numFmt w:val="bullet"/>
      <w:lvlText w:val=""/>
      <w:lvlJc w:val="left"/>
      <w:pPr>
        <w:ind w:left="84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6F305D9C"/>
    <w:multiLevelType w:val="hybridMultilevel"/>
    <w:tmpl w:val="FD58AF24"/>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751799B9"/>
    <w:multiLevelType w:val="singleLevel"/>
    <w:tmpl w:val="751799B9"/>
    <w:lvl w:ilvl="0">
      <w:start w:val="1"/>
      <w:numFmt w:val="decimal"/>
      <w:suff w:val="nothing"/>
      <w:lvlText w:val="%1、"/>
      <w:lvlJc w:val="left"/>
    </w:lvl>
  </w:abstractNum>
  <w:abstractNum w:abstractNumId="10">
    <w:nsid w:val="79922CA6"/>
    <w:multiLevelType w:val="singleLevel"/>
    <w:tmpl w:val="79922CA6"/>
    <w:lvl w:ilvl="0">
      <w:start w:val="1"/>
      <w:numFmt w:val="decimal"/>
      <w:lvlText w:val="%1."/>
      <w:lvlJc w:val="left"/>
      <w:pPr>
        <w:tabs>
          <w:tab w:val="left" w:pos="312"/>
        </w:tabs>
      </w:pPr>
    </w:lvl>
  </w:abstractNum>
  <w:num w:numId="1">
    <w:abstractNumId w:val="8"/>
  </w:num>
  <w:num w:numId="2">
    <w:abstractNumId w:val="7"/>
  </w:num>
  <w:num w:numId="3">
    <w:abstractNumId w:val="6"/>
  </w:num>
  <w:num w:numId="4">
    <w:abstractNumId w:val="9"/>
  </w:num>
  <w:num w:numId="5">
    <w:abstractNumId w:val="3"/>
  </w:num>
  <w:num w:numId="6">
    <w:abstractNumId w:val="0"/>
  </w:num>
  <w:num w:numId="7">
    <w:abstractNumId w:val="5"/>
  </w:num>
  <w:num w:numId="8">
    <w:abstractNumId w:val="2"/>
  </w:num>
  <w:num w:numId="9">
    <w:abstractNumId w:val="10"/>
  </w:num>
  <w:num w:numId="10">
    <w:abstractNumId w:val="4"/>
  </w:num>
  <w:num w:numId="1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70257"/>
    <w:rsid w:val="00115A65"/>
    <w:rsid w:val="001767C8"/>
    <w:rsid w:val="001E01D1"/>
    <w:rsid w:val="00234274"/>
    <w:rsid w:val="003E2BDF"/>
    <w:rsid w:val="004B7E8E"/>
    <w:rsid w:val="00670257"/>
    <w:rsid w:val="00675A82"/>
    <w:rsid w:val="006A4578"/>
    <w:rsid w:val="007429A2"/>
    <w:rsid w:val="00B3167F"/>
    <w:rsid w:val="00C32FA2"/>
    <w:rsid w:val="00CC1C13"/>
    <w:rsid w:val="00D81EB9"/>
    <w:rsid w:val="00D839E6"/>
    <w:rsid w:val="00DB6AF8"/>
    <w:rsid w:val="00E912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0257"/>
    <w:pPr>
      <w:widowControl w:val="0"/>
      <w:jc w:val="both"/>
    </w:pPr>
    <w:rPr>
      <w:rFonts w:ascii="Calibri" w:eastAsia="宋体" w:hAnsi="Calibri" w:cs="Times New Roman"/>
      <w:szCs w:val="24"/>
    </w:rPr>
  </w:style>
  <w:style w:type="paragraph" w:styleId="1">
    <w:name w:val="heading 1"/>
    <w:basedOn w:val="a"/>
    <w:next w:val="a"/>
    <w:link w:val="1Char"/>
    <w:uiPriority w:val="9"/>
    <w:qFormat/>
    <w:rsid w:val="001767C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1767C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702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70257"/>
    <w:rPr>
      <w:sz w:val="18"/>
      <w:szCs w:val="18"/>
    </w:rPr>
  </w:style>
  <w:style w:type="paragraph" w:styleId="a4">
    <w:name w:val="footer"/>
    <w:basedOn w:val="a"/>
    <w:link w:val="Char0"/>
    <w:unhideWhenUsed/>
    <w:rsid w:val="0067025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70257"/>
    <w:rPr>
      <w:sz w:val="18"/>
      <w:szCs w:val="18"/>
    </w:rPr>
  </w:style>
  <w:style w:type="paragraph" w:styleId="a5">
    <w:name w:val="List Paragraph"/>
    <w:basedOn w:val="a"/>
    <w:uiPriority w:val="34"/>
    <w:qFormat/>
    <w:rsid w:val="006A4578"/>
    <w:pPr>
      <w:ind w:firstLineChars="200" w:firstLine="420"/>
    </w:pPr>
  </w:style>
  <w:style w:type="paragraph" w:styleId="10">
    <w:name w:val="toc 1"/>
    <w:basedOn w:val="a"/>
    <w:next w:val="a"/>
    <w:uiPriority w:val="39"/>
    <w:qFormat/>
    <w:rsid w:val="006A4578"/>
    <w:pPr>
      <w:tabs>
        <w:tab w:val="right" w:leader="dot" w:pos="8302"/>
      </w:tabs>
      <w:spacing w:line="360" w:lineRule="auto"/>
    </w:pPr>
    <w:rPr>
      <w:rFonts w:ascii="黑体" w:eastAsia="黑体" w:hAnsi="宋体"/>
      <w:sz w:val="28"/>
    </w:rPr>
  </w:style>
  <w:style w:type="character" w:customStyle="1" w:styleId="2Char">
    <w:name w:val="标题 2 Char"/>
    <w:basedOn w:val="a0"/>
    <w:link w:val="2"/>
    <w:uiPriority w:val="9"/>
    <w:rsid w:val="001767C8"/>
    <w:rPr>
      <w:rFonts w:asciiTheme="majorHAnsi" w:eastAsiaTheme="majorEastAsia" w:hAnsiTheme="majorHAnsi" w:cstheme="majorBidi"/>
      <w:b/>
      <w:bCs/>
      <w:sz w:val="32"/>
      <w:szCs w:val="32"/>
    </w:rPr>
  </w:style>
  <w:style w:type="character" w:customStyle="1" w:styleId="1Char">
    <w:name w:val="标题 1 Char"/>
    <w:basedOn w:val="a0"/>
    <w:link w:val="1"/>
    <w:uiPriority w:val="9"/>
    <w:rsid w:val="001767C8"/>
    <w:rPr>
      <w:rFonts w:ascii="Calibri" w:eastAsia="宋体" w:hAnsi="Calibri" w:cs="Times New Roman"/>
      <w:b/>
      <w:bCs/>
      <w:kern w:val="44"/>
      <w:sz w:val="44"/>
      <w:szCs w:val="44"/>
    </w:rPr>
  </w:style>
  <w:style w:type="paragraph" w:styleId="a6">
    <w:name w:val="Title"/>
    <w:basedOn w:val="a"/>
    <w:next w:val="a"/>
    <w:link w:val="Char1"/>
    <w:uiPriority w:val="10"/>
    <w:qFormat/>
    <w:rsid w:val="001767C8"/>
    <w:pPr>
      <w:spacing w:before="240" w:after="60"/>
      <w:jc w:val="center"/>
      <w:outlineLvl w:val="0"/>
    </w:pPr>
    <w:rPr>
      <w:rFonts w:asciiTheme="majorHAnsi" w:hAnsiTheme="majorHAnsi" w:cstheme="majorBidi"/>
      <w:b/>
      <w:bCs/>
      <w:sz w:val="32"/>
      <w:szCs w:val="32"/>
    </w:rPr>
  </w:style>
  <w:style w:type="character" w:customStyle="1" w:styleId="Char1">
    <w:name w:val="标题 Char"/>
    <w:basedOn w:val="a0"/>
    <w:link w:val="a6"/>
    <w:uiPriority w:val="10"/>
    <w:rsid w:val="001767C8"/>
    <w:rPr>
      <w:rFonts w:asciiTheme="majorHAnsi" w:eastAsia="宋体" w:hAnsiTheme="majorHAnsi" w:cstheme="majorBidi"/>
      <w:b/>
      <w:bCs/>
      <w:sz w:val="32"/>
      <w:szCs w:val="32"/>
    </w:rPr>
  </w:style>
  <w:style w:type="paragraph" w:styleId="a7">
    <w:name w:val="Subtitle"/>
    <w:basedOn w:val="a"/>
    <w:next w:val="a"/>
    <w:link w:val="Char2"/>
    <w:uiPriority w:val="11"/>
    <w:qFormat/>
    <w:rsid w:val="001767C8"/>
    <w:pPr>
      <w:spacing w:before="240" w:after="60" w:line="312" w:lineRule="auto"/>
      <w:jc w:val="center"/>
      <w:outlineLvl w:val="1"/>
    </w:pPr>
    <w:rPr>
      <w:rFonts w:asciiTheme="majorHAnsi" w:hAnsiTheme="majorHAnsi" w:cstheme="majorBidi"/>
      <w:b/>
      <w:bCs/>
      <w:kern w:val="28"/>
      <w:sz w:val="32"/>
      <w:szCs w:val="32"/>
    </w:rPr>
  </w:style>
  <w:style w:type="character" w:customStyle="1" w:styleId="Char2">
    <w:name w:val="副标题 Char"/>
    <w:basedOn w:val="a0"/>
    <w:link w:val="a7"/>
    <w:uiPriority w:val="11"/>
    <w:rsid w:val="001767C8"/>
    <w:rPr>
      <w:rFonts w:asciiTheme="majorHAnsi" w:eastAsia="宋体" w:hAnsiTheme="majorHAnsi" w:cstheme="majorBidi"/>
      <w:b/>
      <w:bCs/>
      <w:kern w:val="28"/>
      <w:sz w:val="32"/>
      <w:szCs w:val="32"/>
    </w:rPr>
  </w:style>
  <w:style w:type="paragraph" w:styleId="a8">
    <w:name w:val="Balloon Text"/>
    <w:basedOn w:val="a"/>
    <w:link w:val="Char3"/>
    <w:uiPriority w:val="99"/>
    <w:semiHidden/>
    <w:unhideWhenUsed/>
    <w:rsid w:val="00D839E6"/>
    <w:rPr>
      <w:sz w:val="18"/>
      <w:szCs w:val="18"/>
    </w:rPr>
  </w:style>
  <w:style w:type="character" w:customStyle="1" w:styleId="Char3">
    <w:name w:val="批注框文本 Char"/>
    <w:basedOn w:val="a0"/>
    <w:link w:val="a8"/>
    <w:uiPriority w:val="99"/>
    <w:semiHidden/>
    <w:rsid w:val="00D839E6"/>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5</Pages>
  <Words>177</Words>
  <Characters>1009</Characters>
  <Application>Microsoft Office Word</Application>
  <DocSecurity>0</DocSecurity>
  <Lines>8</Lines>
  <Paragraphs>2</Paragraphs>
  <ScaleCrop>false</ScaleCrop>
  <Company/>
  <LinksUpToDate>false</LinksUpToDate>
  <CharactersWithSpaces>1184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杜清泽</dc:creator>
  <cp:keywords/>
  <dc:description/>
  <cp:lastModifiedBy>杜清泽</cp:lastModifiedBy>
  <cp:revision>12</cp:revision>
  <dcterms:created xsi:type="dcterms:W3CDTF">2021-06-11T02:16:00Z</dcterms:created>
  <dcterms:modified xsi:type="dcterms:W3CDTF">2021-08-12T09:07:00Z</dcterms:modified>
</cp:coreProperties>
</file>